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26EF" w14:textId="1E0E3A75"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  <w:r w:rsidRPr="00172290">
        <w:rPr>
          <w:rFonts w:ascii="Arial" w:hAnsi="Arial" w:cs="Arial"/>
          <w:b/>
          <w:szCs w:val="32"/>
        </w:rPr>
        <w:t xml:space="preserve">Proposer: </w:t>
      </w:r>
      <w:r w:rsidR="00A37D71">
        <w:rPr>
          <w:rFonts w:ascii="Arial" w:hAnsi="Arial" w:cs="Arial"/>
          <w:b/>
          <w:szCs w:val="32"/>
        </w:rPr>
        <w:t>Chih-Hsiang Lo</w:t>
      </w:r>
      <w:r w:rsidRPr="00172290">
        <w:rPr>
          <w:rFonts w:ascii="Arial" w:hAnsi="Arial" w:cs="Arial"/>
          <w:b/>
          <w:szCs w:val="32"/>
        </w:rPr>
        <w:tab/>
        <w:t>Warwick No:</w:t>
      </w:r>
    </w:p>
    <w:p w14:paraId="42CF5A9E" w14:textId="77777777"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</w:p>
    <w:p w14:paraId="27D4374B" w14:textId="05C58D26"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  <w:r w:rsidRPr="00172290">
        <w:rPr>
          <w:rFonts w:ascii="Arial" w:hAnsi="Arial" w:cs="Arial"/>
          <w:b/>
          <w:szCs w:val="32"/>
        </w:rPr>
        <w:t>Seconder:</w:t>
      </w:r>
      <w:r w:rsidR="00A37D71">
        <w:rPr>
          <w:rFonts w:ascii="Arial" w:hAnsi="Arial" w:cs="Arial"/>
          <w:b/>
          <w:szCs w:val="32"/>
        </w:rPr>
        <w:t xml:space="preserve"> Jacob Jefferson (TBC)</w:t>
      </w:r>
      <w:r w:rsidRPr="00172290">
        <w:rPr>
          <w:rFonts w:ascii="Arial" w:hAnsi="Arial" w:cs="Arial"/>
          <w:b/>
          <w:szCs w:val="32"/>
        </w:rPr>
        <w:tab/>
        <w:t>Warwick No:</w:t>
      </w:r>
      <w:r w:rsidRPr="00172290">
        <w:rPr>
          <w:rFonts w:ascii="Arial" w:hAnsi="Arial" w:cs="Arial"/>
          <w:b/>
          <w:szCs w:val="32"/>
        </w:rPr>
        <w:br/>
      </w:r>
    </w:p>
    <w:p w14:paraId="1359EE33" w14:textId="77777777" w:rsidR="00172290" w:rsidRPr="00172290" w:rsidRDefault="00172290" w:rsidP="00172290">
      <w:pPr>
        <w:tabs>
          <w:tab w:val="left" w:pos="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</w:p>
    <w:p w14:paraId="7C13C59C" w14:textId="77777777" w:rsidR="00172290" w:rsidRPr="00172290" w:rsidRDefault="00172290" w:rsidP="00172290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Notes:</w:t>
      </w:r>
    </w:p>
    <w:p w14:paraId="1D90DC86" w14:textId="77777777" w:rsidR="00172290" w:rsidRPr="00172290" w:rsidRDefault="00172290" w:rsidP="00172290">
      <w:pPr>
        <w:rPr>
          <w:rFonts w:ascii="Arial" w:hAnsi="Arial" w:cs="Arial"/>
          <w:b/>
          <w:sz w:val="22"/>
        </w:rPr>
      </w:pPr>
    </w:p>
    <w:p w14:paraId="33307EF8" w14:textId="5180DE56" w:rsidR="00172290" w:rsidRPr="00172290" w:rsidRDefault="00583E28" w:rsidP="0017229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That Regulation 9 of the Articles of Association under point 1d of De-recognition of Clubs and Societies outline </w:t>
      </w:r>
      <w:r w:rsidR="008E0619">
        <w:rPr>
          <w:rFonts w:ascii="Arial" w:hAnsi="Arial" w:cs="Arial"/>
          <w:sz w:val="22"/>
        </w:rPr>
        <w:t>that if “</w:t>
      </w:r>
      <w:r w:rsidR="008E0619" w:rsidRPr="008E0619">
        <w:rPr>
          <w:rFonts w:ascii="Arial" w:hAnsi="Arial" w:cs="Arial"/>
          <w:sz w:val="22"/>
        </w:rPr>
        <w:t>The Club or Society’s total membership is below 30 for at least 6 weeks (during the academic term) and the Club or Society does not demonstrate willingness to work with the Sports or Societies Officer to reach the required level</w:t>
      </w:r>
      <w:r w:rsidR="008E0619">
        <w:rPr>
          <w:rFonts w:ascii="Arial" w:hAnsi="Arial" w:cs="Arial"/>
          <w:sz w:val="22"/>
        </w:rPr>
        <w:t>”, they can be de-recognised.</w:t>
      </w:r>
    </w:p>
    <w:p w14:paraId="6683C2D0" w14:textId="664E02BE" w:rsidR="00172290" w:rsidRPr="00172290" w:rsidRDefault="00096678" w:rsidP="0017229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 many societies have not currently completed the required handover paperwork for the current academic year (21/22)</w:t>
      </w:r>
    </w:p>
    <w:p w14:paraId="67D593C8" w14:textId="59CC304D" w:rsidR="00172290" w:rsidRDefault="00096678" w:rsidP="0017229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That there is currently a very large </w:t>
      </w:r>
      <w:r w:rsidR="009232EC">
        <w:rPr>
          <w:rFonts w:ascii="Arial" w:hAnsi="Arial" w:cs="Arial"/>
          <w:sz w:val="22"/>
        </w:rPr>
        <w:t>number</w:t>
      </w:r>
      <w:r>
        <w:rPr>
          <w:rFonts w:ascii="Arial" w:hAnsi="Arial" w:cs="Arial"/>
          <w:sz w:val="22"/>
        </w:rPr>
        <w:t xml:space="preserve"> of societies who </w:t>
      </w:r>
      <w:r w:rsidR="005D3E2F">
        <w:rPr>
          <w:rFonts w:ascii="Arial" w:hAnsi="Arial" w:cs="Arial"/>
          <w:sz w:val="22"/>
        </w:rPr>
        <w:t>do</w:t>
      </w:r>
      <w:r>
        <w:rPr>
          <w:rFonts w:ascii="Arial" w:hAnsi="Arial" w:cs="Arial"/>
          <w:sz w:val="22"/>
        </w:rPr>
        <w:t xml:space="preserve"> not have formal contact with the Students’ Union</w:t>
      </w:r>
      <w:r w:rsidR="00C6478E">
        <w:rPr>
          <w:rFonts w:ascii="Arial" w:hAnsi="Arial" w:cs="Arial"/>
          <w:sz w:val="22"/>
        </w:rPr>
        <w:t xml:space="preserve"> as a result</w:t>
      </w:r>
    </w:p>
    <w:p w14:paraId="5324DC5A" w14:textId="0965EECA" w:rsidR="00096678" w:rsidRDefault="009928D6" w:rsidP="0017229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 there is no current procedure for the Student Activities Department to check whether these societies are active and operational</w:t>
      </w:r>
    </w:p>
    <w:p w14:paraId="1327A48C" w14:textId="65D6B586" w:rsidR="006D1045" w:rsidRPr="00172290" w:rsidRDefault="006D1045" w:rsidP="0017229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 there is not currently a deadline for society handover packs and elections</w:t>
      </w:r>
    </w:p>
    <w:p w14:paraId="079340EB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372E2202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7FDB67C3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1F289728" w14:textId="77777777" w:rsidR="00172290" w:rsidRPr="00172290" w:rsidRDefault="00172290" w:rsidP="00172290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Believes:</w:t>
      </w:r>
    </w:p>
    <w:p w14:paraId="733BA1FC" w14:textId="77777777" w:rsidR="00172290" w:rsidRPr="00172290" w:rsidRDefault="00172290" w:rsidP="00172290">
      <w:pPr>
        <w:rPr>
          <w:rFonts w:ascii="Arial" w:hAnsi="Arial" w:cs="Arial"/>
          <w:b/>
          <w:sz w:val="10"/>
          <w:szCs w:val="12"/>
        </w:rPr>
      </w:pPr>
    </w:p>
    <w:p w14:paraId="22328EFB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08A40529" w14:textId="68C51738" w:rsidR="00172290" w:rsidRPr="00172290" w:rsidRDefault="00C539C4" w:rsidP="0017229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 the above creates a precedent for student clubs and societies to operate with little guidance or oversight from the Students’ Union</w:t>
      </w:r>
    </w:p>
    <w:p w14:paraId="17669E6F" w14:textId="1296535A" w:rsidR="00172290" w:rsidRPr="00172290" w:rsidRDefault="00C539C4" w:rsidP="0017229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 the Students’ Union should create a formal assessment of which clubs and societies are currently active and engaged with the Student Activities department</w:t>
      </w:r>
    </w:p>
    <w:p w14:paraId="56D8C610" w14:textId="535D9F89" w:rsidR="00172290" w:rsidRDefault="00C539C4" w:rsidP="0017229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 measures should be put into place to ensure that clubs and societies maintain contact with the Students’ Union through the Student Activities department or Societies Officer / Societies Committee</w:t>
      </w:r>
    </w:p>
    <w:p w14:paraId="49BE249C" w14:textId="7E4B38FC" w:rsidR="006D1045" w:rsidRDefault="006D1045" w:rsidP="0017229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 clubs and societies should be easily able to receive communications from the Students’ Union on important matters</w:t>
      </w:r>
    </w:p>
    <w:p w14:paraId="26D62425" w14:textId="05B1936E" w:rsidR="006D1045" w:rsidRPr="00172290" w:rsidRDefault="006D1045" w:rsidP="0017229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 a deadline for club and society handover packs and elections should be implemented</w:t>
      </w:r>
    </w:p>
    <w:p w14:paraId="5533476D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2B4804DA" w14:textId="77777777" w:rsidR="00172290" w:rsidRPr="00172290" w:rsidRDefault="00172290" w:rsidP="00172290">
      <w:pPr>
        <w:rPr>
          <w:rFonts w:ascii="Arial" w:hAnsi="Arial" w:cs="Arial"/>
          <w:i/>
          <w:sz w:val="22"/>
        </w:rPr>
      </w:pPr>
    </w:p>
    <w:p w14:paraId="04EEFA63" w14:textId="77777777" w:rsidR="00172290" w:rsidRPr="00172290" w:rsidRDefault="00172290" w:rsidP="00172290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Resolves:</w:t>
      </w:r>
    </w:p>
    <w:p w14:paraId="5F085D9D" w14:textId="77777777" w:rsidR="00172290" w:rsidRPr="00172290" w:rsidRDefault="00172290" w:rsidP="00172290">
      <w:pPr>
        <w:rPr>
          <w:rFonts w:ascii="Arial" w:hAnsi="Arial" w:cs="Arial"/>
          <w:b/>
          <w:sz w:val="10"/>
          <w:szCs w:val="12"/>
        </w:rPr>
      </w:pPr>
    </w:p>
    <w:p w14:paraId="0B2FC46E" w14:textId="77777777" w:rsidR="00172290" w:rsidRPr="00172290" w:rsidRDefault="00172290" w:rsidP="00172290">
      <w:pPr>
        <w:tabs>
          <w:tab w:val="left" w:pos="0"/>
          <w:tab w:val="left" w:pos="7088"/>
        </w:tabs>
        <w:rPr>
          <w:rFonts w:ascii="Arial" w:hAnsi="Arial" w:cs="Arial"/>
          <w:i/>
          <w:sz w:val="22"/>
        </w:rPr>
      </w:pPr>
    </w:p>
    <w:p w14:paraId="27E58C1C" w14:textId="5786659D" w:rsidR="00A37D71" w:rsidRDefault="00A37D71" w:rsidP="00172290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remove point 1d of De-recognition of Clubs and Societies in Regulation 9 of the Articles of Association</w:t>
      </w:r>
      <w:r w:rsidR="00801547">
        <w:rPr>
          <w:rFonts w:ascii="Arial" w:hAnsi="Arial" w:cs="Arial"/>
          <w:sz w:val="22"/>
        </w:rPr>
        <w:t xml:space="preserve"> and replace it with the following resolves</w:t>
      </w:r>
    </w:p>
    <w:p w14:paraId="428F62B0" w14:textId="0D933561" w:rsidR="00172290" w:rsidRPr="00172290" w:rsidRDefault="002D747D" w:rsidP="00172290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 any club or society which has not submitted a completed handover pack</w:t>
      </w:r>
      <w:r w:rsidR="00801547">
        <w:rPr>
          <w:rFonts w:ascii="Arial" w:hAnsi="Arial" w:cs="Arial"/>
          <w:sz w:val="22"/>
        </w:rPr>
        <w:t xml:space="preserve"> and elected a core exec committee for the next academic year</w:t>
      </w:r>
      <w:r w:rsidR="00525382">
        <w:rPr>
          <w:rFonts w:ascii="Arial" w:hAnsi="Arial" w:cs="Arial"/>
          <w:sz w:val="22"/>
        </w:rPr>
        <w:t xml:space="preserve"> or contacted the Students’ Union with extenuating circumstances by the end of Term 3</w:t>
      </w:r>
      <w:r>
        <w:rPr>
          <w:rFonts w:ascii="Arial" w:hAnsi="Arial" w:cs="Arial"/>
          <w:sz w:val="22"/>
        </w:rPr>
        <w:t xml:space="preserve"> should have their accounts </w:t>
      </w:r>
      <w:r w:rsidR="00525382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membership frozen until this has been submitted </w:t>
      </w:r>
    </w:p>
    <w:p w14:paraId="3CFD32E1" w14:textId="183DF0B2" w:rsidR="002A43EB" w:rsidRPr="00172290" w:rsidRDefault="002A43EB" w:rsidP="00525382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That any society which has not completed a handover pack and elected a core exec committee by the beginning of Term 1 the following year will be </w:t>
      </w:r>
      <w:r w:rsidR="009D71A9">
        <w:rPr>
          <w:rFonts w:ascii="Arial" w:hAnsi="Arial" w:cs="Arial"/>
          <w:sz w:val="22"/>
        </w:rPr>
        <w:t>closed, or the society can apply to be placed up for adoption</w:t>
      </w:r>
    </w:p>
    <w:p w14:paraId="06A32CE9" w14:textId="02F3C8F8" w:rsidR="00172290" w:rsidRDefault="002D747D" w:rsidP="00172290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 a registration process</w:t>
      </w:r>
      <w:r w:rsidR="00801547">
        <w:rPr>
          <w:rFonts w:ascii="Arial" w:hAnsi="Arial" w:cs="Arial"/>
          <w:sz w:val="22"/>
        </w:rPr>
        <w:t xml:space="preserve"> will be created</w:t>
      </w:r>
      <w:r>
        <w:rPr>
          <w:rFonts w:ascii="Arial" w:hAnsi="Arial" w:cs="Arial"/>
          <w:sz w:val="22"/>
        </w:rPr>
        <w:t xml:space="preserve"> for clubs and societies who have </w:t>
      </w:r>
      <w:r w:rsidR="009D71A9">
        <w:rPr>
          <w:rFonts w:ascii="Arial" w:hAnsi="Arial" w:cs="Arial"/>
          <w:sz w:val="22"/>
        </w:rPr>
        <w:t xml:space="preserve">elections or </w:t>
      </w:r>
      <w:r>
        <w:rPr>
          <w:rFonts w:ascii="Arial" w:hAnsi="Arial" w:cs="Arial"/>
          <w:sz w:val="22"/>
        </w:rPr>
        <w:t>by-elections in Term 1 so that the Students’ Union</w:t>
      </w:r>
      <w:r w:rsidR="002A43EB">
        <w:rPr>
          <w:rFonts w:ascii="Arial" w:hAnsi="Arial" w:cs="Arial"/>
          <w:sz w:val="22"/>
        </w:rPr>
        <w:t xml:space="preserve"> is aware of their circumstances and does not apply Resolves 1 and 2 to them</w:t>
      </w:r>
    </w:p>
    <w:p w14:paraId="5D7175AF" w14:textId="64BC9F21" w:rsidR="003E6755" w:rsidRPr="00172290" w:rsidRDefault="003E6755" w:rsidP="00172290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To first implement this policy in academic year 2022/2023</w:t>
      </w:r>
    </w:p>
    <w:tbl>
      <w:tblPr>
        <w:tblStyle w:val="TableGrid"/>
        <w:tblpPr w:leftFromText="180" w:rightFromText="180" w:vertAnchor="text" w:horzAnchor="margin" w:tblpY="838"/>
        <w:tblW w:w="0" w:type="auto"/>
        <w:tblLook w:val="04A0" w:firstRow="1" w:lastRow="0" w:firstColumn="1" w:lastColumn="0" w:noHBand="0" w:noVBand="1"/>
      </w:tblPr>
      <w:tblGrid>
        <w:gridCol w:w="3286"/>
        <w:gridCol w:w="3287"/>
        <w:gridCol w:w="3287"/>
      </w:tblGrid>
      <w:tr w:rsidR="00172290" w:rsidRPr="00172290" w14:paraId="0C1E2373" w14:textId="77777777" w:rsidTr="00526460">
        <w:tc>
          <w:tcPr>
            <w:tcW w:w="9860" w:type="dxa"/>
            <w:gridSpan w:val="3"/>
          </w:tcPr>
          <w:p w14:paraId="3CFE8AC3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Policy History</w:t>
            </w:r>
          </w:p>
        </w:tc>
      </w:tr>
      <w:tr w:rsidR="00172290" w:rsidRPr="00172290" w14:paraId="7470B3C0" w14:textId="77777777" w:rsidTr="00526460">
        <w:tc>
          <w:tcPr>
            <w:tcW w:w="3286" w:type="dxa"/>
          </w:tcPr>
          <w:p w14:paraId="7B42A6A0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287" w:type="dxa"/>
          </w:tcPr>
          <w:p w14:paraId="46FF3CA3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3287" w:type="dxa"/>
          </w:tcPr>
          <w:p w14:paraId="48C62470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Date</w:t>
            </w:r>
          </w:p>
        </w:tc>
      </w:tr>
      <w:tr w:rsidR="00172290" w:rsidRPr="00172290" w14:paraId="3F30ED27" w14:textId="77777777" w:rsidTr="00526460">
        <w:tc>
          <w:tcPr>
            <w:tcW w:w="3286" w:type="dxa"/>
          </w:tcPr>
          <w:p w14:paraId="22ACCF81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5AA139FD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763A8C9A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172290" w:rsidRPr="00172290" w14:paraId="09D2512B" w14:textId="77777777" w:rsidTr="00526460">
        <w:tc>
          <w:tcPr>
            <w:tcW w:w="3286" w:type="dxa"/>
          </w:tcPr>
          <w:p w14:paraId="5306B8B9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43E97CF4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14:paraId="6F6B7E1F" w14:textId="77777777" w:rsidR="00172290" w:rsidRPr="00172290" w:rsidRDefault="00172290" w:rsidP="00526460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</w:tr>
    </w:tbl>
    <w:p w14:paraId="6480934B" w14:textId="77777777" w:rsidR="00172290" w:rsidRPr="00172290" w:rsidRDefault="00172290" w:rsidP="00172290">
      <w:pPr>
        <w:rPr>
          <w:rFonts w:ascii="Arial" w:hAnsi="Arial" w:cs="Arial"/>
        </w:rPr>
      </w:pPr>
    </w:p>
    <w:p w14:paraId="339F98B0" w14:textId="77777777" w:rsidR="00172290" w:rsidRPr="00172290" w:rsidRDefault="00172290" w:rsidP="00172290">
      <w:pPr>
        <w:rPr>
          <w:rFonts w:ascii="Arial" w:hAnsi="Arial" w:cs="Arial"/>
        </w:rPr>
      </w:pPr>
    </w:p>
    <w:p w14:paraId="0CB155C2" w14:textId="77777777" w:rsidR="00172290" w:rsidRPr="00172290" w:rsidRDefault="00172290" w:rsidP="00172290">
      <w:pPr>
        <w:rPr>
          <w:rFonts w:ascii="Arial" w:hAnsi="Arial" w:cs="Arial"/>
        </w:rPr>
      </w:pPr>
    </w:p>
    <w:p w14:paraId="0A33A156" w14:textId="77777777" w:rsidR="00172290" w:rsidRPr="00172290" w:rsidRDefault="00172290" w:rsidP="00172290">
      <w:pPr>
        <w:rPr>
          <w:rFonts w:ascii="Arial" w:hAnsi="Arial" w:cs="Arial"/>
        </w:rPr>
      </w:pPr>
    </w:p>
    <w:p w14:paraId="79C11A02" w14:textId="77777777" w:rsidR="00172290" w:rsidRPr="00172290" w:rsidRDefault="00172290" w:rsidP="00172290">
      <w:pPr>
        <w:rPr>
          <w:rFonts w:ascii="Arial" w:hAnsi="Arial" w:cs="Arial"/>
        </w:rPr>
      </w:pPr>
    </w:p>
    <w:p w14:paraId="000FC0A8" w14:textId="77777777" w:rsidR="00172290" w:rsidRPr="00172290" w:rsidRDefault="00172290" w:rsidP="00172290">
      <w:pPr>
        <w:rPr>
          <w:rFonts w:ascii="Arial" w:hAnsi="Arial" w:cs="Arial"/>
        </w:rPr>
      </w:pPr>
    </w:p>
    <w:p w14:paraId="775E9F4E" w14:textId="77777777" w:rsidR="00172290" w:rsidRPr="00172290" w:rsidRDefault="00172290" w:rsidP="00172290">
      <w:pPr>
        <w:rPr>
          <w:rFonts w:ascii="Arial" w:hAnsi="Arial" w:cs="Arial"/>
        </w:rPr>
      </w:pPr>
      <w:r w:rsidRPr="00172290">
        <w:rPr>
          <w:rFonts w:ascii="Arial" w:hAnsi="Arial" w:cs="Arial"/>
        </w:rPr>
        <w:t>(Please leave the above box blank)</w:t>
      </w:r>
    </w:p>
    <w:p w14:paraId="04126EF9" w14:textId="77777777" w:rsidR="00172290" w:rsidRPr="00172290" w:rsidRDefault="00172290" w:rsidP="00172290">
      <w:pPr>
        <w:rPr>
          <w:rFonts w:ascii="Arial" w:hAnsi="Arial" w:cs="Arial"/>
        </w:rPr>
      </w:pPr>
    </w:p>
    <w:p w14:paraId="5237FC7B" w14:textId="77777777" w:rsidR="00172290" w:rsidRPr="00172290" w:rsidRDefault="00172290" w:rsidP="00172290">
      <w:pPr>
        <w:rPr>
          <w:rFonts w:ascii="Arial" w:hAnsi="Arial" w:cs="Arial"/>
        </w:rPr>
      </w:pPr>
    </w:p>
    <w:p w14:paraId="48DDD319" w14:textId="77777777" w:rsidR="00172290" w:rsidRPr="00172290" w:rsidRDefault="00172290" w:rsidP="00172290">
      <w:pPr>
        <w:rPr>
          <w:rFonts w:ascii="Arial" w:hAnsi="Arial" w:cs="Arial"/>
        </w:rPr>
      </w:pPr>
    </w:p>
    <w:p w14:paraId="00F84CD0" w14:textId="77777777" w:rsidR="003D0FAC" w:rsidRPr="00172290" w:rsidRDefault="003D0FAC" w:rsidP="009A32E8">
      <w:pPr>
        <w:pStyle w:val="Body"/>
        <w:rPr>
          <w:rFonts w:eastAsia="Arial"/>
        </w:rPr>
      </w:pPr>
    </w:p>
    <w:sectPr w:rsidR="003D0FAC" w:rsidRPr="00172290" w:rsidSect="006B0266">
      <w:headerReference w:type="default" r:id="rId7"/>
      <w:footerReference w:type="default" r:id="rId8"/>
      <w:headerReference w:type="first" r:id="rId9"/>
      <w:pgSz w:w="11906" w:h="16838"/>
      <w:pgMar w:top="680" w:right="677" w:bottom="1584" w:left="6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DB90" w14:textId="77777777" w:rsidR="004E227F" w:rsidRDefault="004E227F" w:rsidP="00395561">
      <w:r>
        <w:separator/>
      </w:r>
    </w:p>
  </w:endnote>
  <w:endnote w:type="continuationSeparator" w:id="0">
    <w:p w14:paraId="6180BE3C" w14:textId="77777777" w:rsidR="004E227F" w:rsidRDefault="004E227F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5CB6" w14:textId="77777777" w:rsidR="001B53EF" w:rsidRPr="00395561" w:rsidRDefault="001B53EF" w:rsidP="00395561">
    <w:pPr>
      <w:pStyle w:val="Footer"/>
      <w:ind w:left="-680" w:right="-6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4F30" w14:textId="77777777" w:rsidR="004E227F" w:rsidRDefault="004E227F" w:rsidP="00395561">
      <w:r>
        <w:separator/>
      </w:r>
    </w:p>
  </w:footnote>
  <w:footnote w:type="continuationSeparator" w:id="0">
    <w:p w14:paraId="4B63EF83" w14:textId="77777777" w:rsidR="004E227F" w:rsidRDefault="004E227F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B818" w14:textId="77777777" w:rsidR="001B53EF" w:rsidRDefault="001B53EF" w:rsidP="00395561">
    <w:pPr>
      <w:pStyle w:val="Header"/>
      <w:ind w:left="-680" w:right="-65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501A" w14:textId="77777777" w:rsidR="001F50EF" w:rsidRDefault="001F50EF">
    <w:pPr>
      <w:pStyle w:val="Header"/>
    </w:pPr>
  </w:p>
  <w:p w14:paraId="09D9AE78" w14:textId="77777777" w:rsidR="001F50EF" w:rsidRDefault="001F50EF">
    <w:pPr>
      <w:pStyle w:val="Header"/>
    </w:pPr>
  </w:p>
  <w:p w14:paraId="7F06EDD5" w14:textId="77777777" w:rsidR="001F50EF" w:rsidRDefault="006B026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48FF03" wp14:editId="656BE8BC">
          <wp:simplePos x="0" y="0"/>
          <wp:positionH relativeFrom="column">
            <wp:posOffset>30480</wp:posOffset>
          </wp:positionH>
          <wp:positionV relativeFrom="paragraph">
            <wp:posOffset>60325</wp:posOffset>
          </wp:positionV>
          <wp:extent cx="1073150" cy="7448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wick SU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F0614" w14:textId="77777777" w:rsidR="008278AC" w:rsidRDefault="006B02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0" wp14:anchorId="77CC5B8C" wp14:editId="75E0EF3C">
              <wp:simplePos x="0" y="0"/>
              <wp:positionH relativeFrom="page">
                <wp:posOffset>1918970</wp:posOffset>
              </wp:positionH>
              <wp:positionV relativeFrom="page">
                <wp:posOffset>599440</wp:posOffset>
              </wp:positionV>
              <wp:extent cx="5029835" cy="666000"/>
              <wp:effectExtent l="0" t="0" r="0" b="203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835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6C7DB" w14:textId="3472E923" w:rsidR="008278AC" w:rsidRPr="006171E5" w:rsidRDefault="006171E5" w:rsidP="006171E5">
                          <w:pPr>
                            <w:pStyle w:val="Heading"/>
                          </w:pPr>
                          <w:r w:rsidRPr="006171E5">
                            <w:t>Inactive Societies Motion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C5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1pt;margin-top:47.2pt;width:396.05pt;height:52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" o:allowoverlap="f" filled="f" stroked="f">
              <v:textbox inset="0,0,0,0">
                <w:txbxContent>
                  <w:p w14:paraId="5146C7DB" w14:textId="3472E923" w:rsidR="008278AC" w:rsidRPr="006171E5" w:rsidRDefault="006171E5" w:rsidP="006171E5">
                    <w:pPr>
                      <w:pStyle w:val="Heading"/>
                    </w:pPr>
                    <w:r w:rsidRPr="006171E5">
                      <w:t>Inactive Societies Motion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51F9174A" w14:textId="77777777" w:rsidR="006B0266" w:rsidRDefault="006B0266">
    <w:pPr>
      <w:pStyle w:val="Header"/>
    </w:pPr>
  </w:p>
  <w:p w14:paraId="5BFF4C8B" w14:textId="77777777" w:rsidR="006B0266" w:rsidRDefault="006B0266">
    <w:pPr>
      <w:pStyle w:val="Header"/>
    </w:pPr>
  </w:p>
  <w:p w14:paraId="6C286874" w14:textId="77777777" w:rsidR="006B0266" w:rsidRDefault="006B0266">
    <w:pPr>
      <w:pStyle w:val="Header"/>
    </w:pPr>
  </w:p>
  <w:p w14:paraId="653C22EC" w14:textId="77777777" w:rsidR="002156FF" w:rsidRDefault="002156FF">
    <w:pPr>
      <w:pStyle w:val="Header"/>
    </w:pPr>
  </w:p>
  <w:p w14:paraId="4F14B071" w14:textId="77777777" w:rsidR="002156FF" w:rsidRDefault="00215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42E"/>
    <w:multiLevelType w:val="hybridMultilevel"/>
    <w:tmpl w:val="85EC3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00E6"/>
    <w:multiLevelType w:val="hybridMultilevel"/>
    <w:tmpl w:val="42926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62C2"/>
    <w:multiLevelType w:val="hybridMultilevel"/>
    <w:tmpl w:val="D1287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54018">
    <w:abstractNumId w:val="0"/>
  </w:num>
  <w:num w:numId="2" w16cid:durableId="812256977">
    <w:abstractNumId w:val="1"/>
  </w:num>
  <w:num w:numId="3" w16cid:durableId="183672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90"/>
    <w:rsid w:val="00056F73"/>
    <w:rsid w:val="00096678"/>
    <w:rsid w:val="000B7722"/>
    <w:rsid w:val="00106657"/>
    <w:rsid w:val="00141AA3"/>
    <w:rsid w:val="0016364F"/>
    <w:rsid w:val="00172290"/>
    <w:rsid w:val="001B53EF"/>
    <w:rsid w:val="001F50EF"/>
    <w:rsid w:val="002156FF"/>
    <w:rsid w:val="00277DA9"/>
    <w:rsid w:val="002819CA"/>
    <w:rsid w:val="002A43EB"/>
    <w:rsid w:val="002B06C9"/>
    <w:rsid w:val="002D747D"/>
    <w:rsid w:val="00395561"/>
    <w:rsid w:val="003B0A6D"/>
    <w:rsid w:val="003D0FAC"/>
    <w:rsid w:val="003E6755"/>
    <w:rsid w:val="004D1EA0"/>
    <w:rsid w:val="004E227F"/>
    <w:rsid w:val="004F6E7A"/>
    <w:rsid w:val="00500645"/>
    <w:rsid w:val="00525382"/>
    <w:rsid w:val="00583E28"/>
    <w:rsid w:val="005D3E2F"/>
    <w:rsid w:val="00603B5B"/>
    <w:rsid w:val="006171E5"/>
    <w:rsid w:val="006173DC"/>
    <w:rsid w:val="006B0266"/>
    <w:rsid w:val="006D1045"/>
    <w:rsid w:val="00781E53"/>
    <w:rsid w:val="00801547"/>
    <w:rsid w:val="008024A7"/>
    <w:rsid w:val="008278AC"/>
    <w:rsid w:val="008E0619"/>
    <w:rsid w:val="008F7EAD"/>
    <w:rsid w:val="00915A18"/>
    <w:rsid w:val="009232EC"/>
    <w:rsid w:val="009928D6"/>
    <w:rsid w:val="009A32E8"/>
    <w:rsid w:val="009D71A9"/>
    <w:rsid w:val="009E2317"/>
    <w:rsid w:val="009E589F"/>
    <w:rsid w:val="00A0572B"/>
    <w:rsid w:val="00A132B9"/>
    <w:rsid w:val="00A37D71"/>
    <w:rsid w:val="00A66A1C"/>
    <w:rsid w:val="00B03733"/>
    <w:rsid w:val="00B14AEA"/>
    <w:rsid w:val="00BF5393"/>
    <w:rsid w:val="00C539C4"/>
    <w:rsid w:val="00C6478E"/>
    <w:rsid w:val="00DC39A1"/>
    <w:rsid w:val="00DE27B8"/>
    <w:rsid w:val="00EA07DF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E19CE1"/>
  <w15:chartTrackingRefBased/>
  <w15:docId w15:val="{2323E165-C4B7-4C78-BF9C-52F7591A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2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3955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paragraph" w:customStyle="1" w:styleId="Heading">
    <w:name w:val="Heading"/>
    <w:basedOn w:val="Normal"/>
    <w:link w:val="HeadingChar"/>
    <w:autoRedefine/>
    <w:qFormat/>
    <w:rsid w:val="006171E5"/>
    <w:pPr>
      <w:spacing w:after="240"/>
    </w:pPr>
    <w:rPr>
      <w:rFonts w:ascii="Arial" w:hAnsi="Arial" w:cs="Arial"/>
      <w:b/>
      <w:color w:val="000000" w:themeColor="text1"/>
      <w:sz w:val="56"/>
      <w:szCs w:val="56"/>
    </w:rPr>
  </w:style>
  <w:style w:type="paragraph" w:styleId="NoSpacing">
    <w:name w:val="No Spacing"/>
    <w:uiPriority w:val="1"/>
    <w:rsid w:val="00F737D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customStyle="1" w:styleId="HeadingChar">
    <w:name w:val="Heading Char"/>
    <w:basedOn w:val="DefaultParagraphFont"/>
    <w:link w:val="Heading"/>
    <w:rsid w:val="006171E5"/>
    <w:rPr>
      <w:rFonts w:ascii="Arial" w:hAnsi="Arial" w:cs="Arial"/>
      <w:b/>
      <w:color w:val="000000" w:themeColor="text1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F737DF"/>
    <w:pPr>
      <w:ind w:left="720"/>
      <w:contextualSpacing/>
    </w:pPr>
  </w:style>
  <w:style w:type="paragraph" w:customStyle="1" w:styleId="Body">
    <w:name w:val="Body"/>
    <w:basedOn w:val="BasicParagraph"/>
    <w:link w:val="BodyChar"/>
    <w:autoRedefine/>
    <w:qFormat/>
    <w:rsid w:val="009A32E8"/>
    <w:pPr>
      <w:spacing w:after="24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customStyle="1" w:styleId="SubHeading">
    <w:name w:val="Sub Heading"/>
    <w:basedOn w:val="BasicParagraph"/>
    <w:link w:val="SubHeadingChar"/>
    <w:autoRedefine/>
    <w:qFormat/>
    <w:rsid w:val="009A32E8"/>
    <w:pPr>
      <w:spacing w:before="280" w:line="276" w:lineRule="auto"/>
    </w:pPr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F737DF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odyChar">
    <w:name w:val="Body Char"/>
    <w:basedOn w:val="BasicParagraphChar"/>
    <w:link w:val="Body"/>
    <w:rsid w:val="009A32E8"/>
    <w:rPr>
      <w:rFonts w:ascii="Arial" w:hAnsi="Arial" w:cs="Arial"/>
      <w:color w:val="000000" w:themeColor="text1"/>
      <w:sz w:val="22"/>
      <w:szCs w:val="22"/>
      <w:lang w:val="en-US"/>
    </w:rPr>
  </w:style>
  <w:style w:type="character" w:customStyle="1" w:styleId="SubHeadingChar">
    <w:name w:val="Sub Heading Char"/>
    <w:basedOn w:val="BasicParagraphChar"/>
    <w:link w:val="SubHeading"/>
    <w:rsid w:val="009A32E8"/>
    <w:rPr>
      <w:rFonts w:ascii="Arial" w:hAnsi="Arial" w:cs="Arial"/>
      <w:b/>
      <w:color w:val="000000" w:themeColor="text1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17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E902912D49240B77D5D65E7037D17" ma:contentTypeVersion="12" ma:contentTypeDescription="Create a new document." ma:contentTypeScope="" ma:versionID="c79a16d7837f2808b0d30d47514a7e78">
  <xsd:schema xmlns:xsd="http://www.w3.org/2001/XMLSchema" xmlns:xs="http://www.w3.org/2001/XMLSchema" xmlns:p="http://schemas.microsoft.com/office/2006/metadata/properties" xmlns:ns2="79da2c25-5886-46b0-be0b-1218e13c9131" xmlns:ns3="69727a05-70c5-449a-90f0-7dde2b8ec049" targetNamespace="http://schemas.microsoft.com/office/2006/metadata/properties" ma:root="true" ma:fieldsID="2a25eb2f4e77500ae547ec41ee714cb5" ns2:_="" ns3:_="">
    <xsd:import namespace="79da2c25-5886-46b0-be0b-1218e13c9131"/>
    <xsd:import namespace="69727a05-70c5-449a-90f0-7dde2b8e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2c25-5886-46b0-be0b-1218e13c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7a05-70c5-449a-90f0-7dde2b8e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CF2E8-BAAE-412D-8EB6-17091B147903}"/>
</file>

<file path=customXml/itemProps2.xml><?xml version="1.0" encoding="utf-8"?>
<ds:datastoreItem xmlns:ds="http://schemas.openxmlformats.org/officeDocument/2006/customXml" ds:itemID="{1E5F01BB-210A-4949-B9CE-8B03E751F363}"/>
</file>

<file path=customXml/itemProps3.xml><?xml version="1.0" encoding="utf-8"?>
<ds:datastoreItem xmlns:ds="http://schemas.openxmlformats.org/officeDocument/2006/customXml" ds:itemID="{04C6EED9-459A-4CE6-9FD2-4E6CBA38F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O'Brien</dc:creator>
  <cp:keywords/>
  <dc:description/>
  <cp:lastModifiedBy>James Morrison</cp:lastModifiedBy>
  <cp:revision>2</cp:revision>
  <dcterms:created xsi:type="dcterms:W3CDTF">2022-04-26T13:21:00Z</dcterms:created>
  <dcterms:modified xsi:type="dcterms:W3CDTF">2022-04-26T13:21:00Z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0x010100328E902912D49240B77D5D65E7037D17</vt:lpwstr>
  </property>
</Properties>
</file>