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2290" w:rsidR="00172290" w:rsidP="67F0BE96" w:rsidRDefault="00172290" w14:paraId="10D126EF" w14:textId="6B5024F9">
      <w:pPr>
        <w:tabs>
          <w:tab w:val="left" w:leader="none" w:pos="7088"/>
        </w:tabs>
        <w:rPr>
          <w:rFonts w:ascii="Arial" w:hAnsi="Arial" w:cs="Arial"/>
          <w:b w:val="1"/>
          <w:bCs w:val="1"/>
        </w:rPr>
      </w:pPr>
      <w:r w:rsidRPr="67F0BE96" w:rsidR="00172290">
        <w:rPr>
          <w:rFonts w:ascii="Arial" w:hAnsi="Arial" w:cs="Arial"/>
          <w:b w:val="1"/>
          <w:bCs w:val="1"/>
        </w:rPr>
        <w:t>Proposer: The Full Time Officer Team</w:t>
      </w:r>
      <w:r>
        <w:tab/>
      </w:r>
      <w:r w:rsidRPr="67F0BE96" w:rsidR="00172290">
        <w:rPr>
          <w:rFonts w:ascii="Arial" w:hAnsi="Arial" w:cs="Arial"/>
          <w:b w:val="1"/>
          <w:bCs w:val="1"/>
        </w:rPr>
        <w:t>Warwick No:</w:t>
      </w:r>
    </w:p>
    <w:p w:rsidRPr="00172290" w:rsidR="00172290" w:rsidP="00172290" w:rsidRDefault="00172290" w14:paraId="42CF5A9E" w14:textId="77777777">
      <w:pPr>
        <w:tabs>
          <w:tab w:val="left" w:pos="0"/>
          <w:tab w:val="left" w:pos="7088"/>
        </w:tabs>
        <w:rPr>
          <w:rFonts w:ascii="Arial" w:hAnsi="Arial" w:cs="Arial"/>
          <w:b/>
          <w:szCs w:val="32"/>
        </w:rPr>
      </w:pPr>
    </w:p>
    <w:p w:rsidRPr="00172290" w:rsidR="00172290" w:rsidP="67F0BE96" w:rsidRDefault="00172290" w14:paraId="27D4374B" w14:textId="79D728CD">
      <w:pPr>
        <w:tabs>
          <w:tab w:val="left" w:leader="none" w:pos="7088"/>
        </w:tabs>
        <w:rPr>
          <w:rFonts w:ascii="Arial" w:hAnsi="Arial" w:cs="Arial"/>
          <w:b w:val="1"/>
          <w:bCs w:val="1"/>
        </w:rPr>
      </w:pPr>
      <w:r w:rsidRPr="67F0BE96" w:rsidR="00172290">
        <w:rPr>
          <w:rFonts w:ascii="Arial" w:hAnsi="Arial" w:cs="Arial"/>
          <w:b w:val="1"/>
          <w:bCs w:val="1"/>
        </w:rPr>
        <w:t>Seconder: The Full Time Officer Team</w:t>
      </w:r>
      <w:r>
        <w:tab/>
      </w:r>
      <w:r w:rsidRPr="67F0BE96" w:rsidR="00172290">
        <w:rPr>
          <w:rFonts w:ascii="Arial" w:hAnsi="Arial" w:cs="Arial"/>
          <w:b w:val="1"/>
          <w:bCs w:val="1"/>
        </w:rPr>
        <w:t>Warwick No:</w:t>
      </w:r>
      <w:r>
        <w:br/>
      </w:r>
    </w:p>
    <w:p w:rsidRPr="00172290" w:rsidR="00172290" w:rsidP="00172290" w:rsidRDefault="00172290" w14:paraId="1359EE33" w14:textId="77777777">
      <w:pPr>
        <w:tabs>
          <w:tab w:val="left" w:pos="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</w:p>
    <w:p w:rsidRPr="00172290" w:rsidR="00172290" w:rsidP="00172290" w:rsidRDefault="00172290" w14:paraId="7C13C59C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Notes:</w:t>
      </w:r>
    </w:p>
    <w:p w:rsidRPr="00172290" w:rsidR="00172290" w:rsidP="00172290" w:rsidRDefault="00172290" w14:paraId="1D90DC86" w14:textId="77777777">
      <w:pPr>
        <w:rPr>
          <w:rFonts w:ascii="Arial" w:hAnsi="Arial" w:cs="Arial"/>
          <w:b/>
          <w:sz w:val="22"/>
        </w:rPr>
      </w:pPr>
    </w:p>
    <w:p w:rsidR="00096678" w:rsidP="00172290" w:rsidRDefault="00D30B0B" w14:paraId="5324DC5A" w14:textId="4CC55F1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That the bylaws of the Students’ Union</w:t>
      </w:r>
      <w:r w:rsidR="001E4D4A">
        <w:rPr>
          <w:rFonts w:ascii="Arial" w:hAnsi="Arial" w:cs="Arial"/>
          <w:sz w:val="22"/>
        </w:rPr>
        <w:t xml:space="preserve"> are often amended multiple times throughout the academic year</w:t>
      </w:r>
    </w:p>
    <w:p w:rsidRPr="00172290" w:rsidR="001E4D4A" w:rsidP="00172290" w:rsidRDefault="001E4D4A" w14:paraId="4ADD0B08" w14:textId="5261C5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includes individual by-laws being amended several times each academic year</w:t>
      </w:r>
    </w:p>
    <w:p w:rsidRPr="00172290" w:rsidR="00172290" w:rsidP="00172290" w:rsidRDefault="00172290" w14:paraId="079340EB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372E2202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7FDB67C3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1F289728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Believes:</w:t>
      </w:r>
    </w:p>
    <w:p w:rsidRPr="00172290" w:rsidR="00172290" w:rsidP="649C6FB0" w:rsidRDefault="00172290" w14:paraId="22328EFB" w14:noSpellErr="1" w14:textId="517E7850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Pr="00172290" w:rsidR="00172290" w:rsidP="00172290" w:rsidRDefault="001E4D4A" w14:paraId="08A40529" w14:textId="306CD70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That this frequency of changes to individual by-law changes </w:t>
      </w:r>
      <w:r w:rsidR="00A3578A">
        <w:rPr>
          <w:rFonts w:ascii="Arial" w:hAnsi="Arial" w:cs="Arial"/>
          <w:sz w:val="22"/>
        </w:rPr>
        <w:t xml:space="preserve">has negative effects on the stability of the </w:t>
      </w:r>
      <w:r w:rsidR="00B95CE4">
        <w:rPr>
          <w:rFonts w:ascii="Arial" w:hAnsi="Arial" w:cs="Arial"/>
          <w:sz w:val="22"/>
        </w:rPr>
        <w:t>g</w:t>
      </w:r>
      <w:r w:rsidR="00A3578A">
        <w:rPr>
          <w:rFonts w:ascii="Arial" w:hAnsi="Arial" w:cs="Arial"/>
          <w:sz w:val="22"/>
        </w:rPr>
        <w:t>overnance of the Students’ Union</w:t>
      </w:r>
    </w:p>
    <w:p w:rsidRPr="00172290" w:rsidR="00172290" w:rsidP="67F0BE96" w:rsidRDefault="00172290" w14:paraId="5533476D" w14:textId="6E9CC8F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67F0BE96" w:rsidR="00B95CE4">
        <w:rPr>
          <w:rFonts w:ascii="Arial" w:hAnsi="Arial" w:cs="Arial"/>
          <w:sz w:val="22"/>
          <w:szCs w:val="22"/>
        </w:rPr>
        <w:t>That introducing restrictions on the frequency of changes to the bylaws will reinforce the structure of how the SU operates by decreasing operational alterations</w:t>
      </w:r>
    </w:p>
    <w:p w:rsidRPr="00172290" w:rsidR="00172290" w:rsidP="00172290" w:rsidRDefault="00172290" w14:paraId="2B4804DA" w14:textId="77777777">
      <w:pPr>
        <w:rPr>
          <w:rFonts w:ascii="Arial" w:hAnsi="Arial" w:cs="Arial"/>
          <w:i/>
          <w:sz w:val="22"/>
        </w:rPr>
      </w:pPr>
    </w:p>
    <w:p w:rsidRPr="00172290" w:rsidR="00172290" w:rsidP="00172290" w:rsidRDefault="00172290" w14:paraId="04EEFA63" w14:textId="77777777">
      <w:pPr>
        <w:rPr>
          <w:rFonts w:ascii="Arial" w:hAnsi="Arial" w:cs="Arial"/>
          <w:b/>
          <w:sz w:val="22"/>
        </w:rPr>
      </w:pPr>
      <w:r w:rsidRPr="00172290">
        <w:rPr>
          <w:rFonts w:ascii="Arial" w:hAnsi="Arial" w:cs="Arial"/>
          <w:b/>
          <w:sz w:val="22"/>
        </w:rPr>
        <w:t>This Union Resolves:</w:t>
      </w:r>
    </w:p>
    <w:p w:rsidRPr="00172290" w:rsidR="00172290" w:rsidP="649C6FB0" w:rsidRDefault="00172290" w14:paraId="0B2FC46E" w14:noSpellErr="1" w14:textId="3600E6FD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Pr="00172290" w:rsidR="00172290" w:rsidP="00172290" w:rsidRDefault="0063384E" w14:paraId="428F62B0" w14:textId="0E3624D0">
      <w:pPr>
        <w:pStyle w:val="ListParagraph"/>
        <w:numPr>
          <w:ilvl w:val="0"/>
          <w:numId w:val="3"/>
        </w:numPr>
        <w:tabs>
          <w:tab w:val="left" w:pos="0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introduce a limit on the frequency that bylaws may be amended </w:t>
      </w:r>
      <w:r w:rsidR="00552AF4">
        <w:rPr>
          <w:rFonts w:ascii="Arial" w:hAnsi="Arial" w:cs="Arial"/>
          <w:sz w:val="22"/>
        </w:rPr>
        <w:t xml:space="preserve">via motions passed by Student Council </w:t>
      </w:r>
      <w:r w:rsidR="00A54212">
        <w:rPr>
          <w:rFonts w:ascii="Arial" w:hAnsi="Arial" w:cs="Arial"/>
          <w:sz w:val="22"/>
        </w:rPr>
        <w:t>(once per academic year), with this limit resetting after the final Student Council of the academic year</w:t>
      </w:r>
    </w:p>
    <w:p w:rsidRPr="00172290" w:rsidR="00172290" w:rsidP="67F0BE96" w:rsidRDefault="00172290" w14:paraId="06A32CE9" w14:textId="32BCE491">
      <w:pPr>
        <w:pStyle w:val="ListParagraph"/>
        <w:numPr>
          <w:ilvl w:val="0"/>
          <w:numId w:val="3"/>
        </w:numPr>
        <w:tabs>
          <w:tab w:val="left" w:leader="none" w:pos="7088"/>
        </w:tabs>
        <w:rPr>
          <w:rFonts w:ascii="Arial" w:hAnsi="Arial" w:cs="Arial"/>
          <w:sz w:val="22"/>
          <w:szCs w:val="22"/>
        </w:rPr>
      </w:pPr>
      <w:r w:rsidRPr="67F0BE96" w:rsidR="00172290">
        <w:rPr>
          <w:rFonts w:ascii="Arial" w:hAnsi="Arial" w:cs="Arial"/>
          <w:sz w:val="22"/>
          <w:szCs w:val="22"/>
        </w:rPr>
        <w:t>That bylaw changes must occur during the final Student Council of the academic year</w:t>
      </w:r>
    </w:p>
    <w:tbl>
      <w:tblPr>
        <w:tblStyle w:val="TableGrid"/>
        <w:tblpPr w:leftFromText="180" w:rightFromText="180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Pr="00172290" w:rsidR="00172290" w:rsidTr="00526460" w14:paraId="0C1E2373" w14:textId="77777777">
        <w:tc>
          <w:tcPr>
            <w:tcW w:w="9860" w:type="dxa"/>
            <w:gridSpan w:val="3"/>
          </w:tcPr>
          <w:p w:rsidRPr="00172290" w:rsidR="00172290" w:rsidP="00526460" w:rsidRDefault="00172290" w14:paraId="3CFE8AC3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Policy History</w:t>
            </w:r>
          </w:p>
        </w:tc>
      </w:tr>
      <w:tr w:rsidRPr="00172290" w:rsidR="00172290" w:rsidTr="00526460" w14:paraId="7470B3C0" w14:textId="77777777">
        <w:tc>
          <w:tcPr>
            <w:tcW w:w="3286" w:type="dxa"/>
          </w:tcPr>
          <w:p w:rsidRPr="00172290" w:rsidR="00172290" w:rsidP="00526460" w:rsidRDefault="00172290" w14:paraId="7B42A6A0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287" w:type="dxa"/>
          </w:tcPr>
          <w:p w:rsidRPr="00172290" w:rsidR="00172290" w:rsidP="00526460" w:rsidRDefault="00172290" w14:paraId="46FF3CA3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3287" w:type="dxa"/>
          </w:tcPr>
          <w:p w:rsidRPr="00172290" w:rsidR="00172290" w:rsidP="00526460" w:rsidRDefault="00172290" w14:paraId="48C62470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b/>
              </w:rPr>
            </w:pPr>
            <w:r w:rsidRPr="00172290">
              <w:rPr>
                <w:rFonts w:ascii="Arial" w:hAnsi="Arial" w:cs="Arial"/>
                <w:b/>
              </w:rPr>
              <w:t>Date</w:t>
            </w:r>
          </w:p>
        </w:tc>
      </w:tr>
      <w:tr w:rsidRPr="00172290" w:rsidR="00172290" w:rsidTr="00526460" w14:paraId="3F30ED27" w14:textId="77777777">
        <w:tc>
          <w:tcPr>
            <w:tcW w:w="3286" w:type="dxa"/>
          </w:tcPr>
          <w:p w:rsidRPr="00172290" w:rsidR="00172290" w:rsidP="00526460" w:rsidRDefault="00172290" w14:paraId="22ACCF81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5AA139FD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763A8C9A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Pr="00172290" w:rsidR="00172290" w:rsidTr="00526460" w14:paraId="09D2512B" w14:textId="77777777">
        <w:tc>
          <w:tcPr>
            <w:tcW w:w="3286" w:type="dxa"/>
          </w:tcPr>
          <w:p w:rsidRPr="00172290" w:rsidR="00172290" w:rsidP="00526460" w:rsidRDefault="00172290" w14:paraId="5306B8B9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43E97CF4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Pr="00172290" w:rsidR="00172290" w:rsidP="00526460" w:rsidRDefault="00172290" w14:paraId="6F6B7E1F" w14:textId="77777777">
            <w:pPr>
              <w:tabs>
                <w:tab w:val="left" w:pos="0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Pr="00172290" w:rsidR="00172290" w:rsidP="00172290" w:rsidRDefault="00172290" w14:paraId="6480934B" w14:textId="77777777">
      <w:pPr>
        <w:rPr>
          <w:rFonts w:ascii="Arial" w:hAnsi="Arial" w:cs="Arial"/>
        </w:rPr>
      </w:pPr>
    </w:p>
    <w:p w:rsidRPr="00172290" w:rsidR="00172290" w:rsidP="00172290" w:rsidRDefault="00172290" w14:paraId="339F98B0" w14:textId="77777777">
      <w:pPr>
        <w:rPr>
          <w:rFonts w:ascii="Arial" w:hAnsi="Arial" w:cs="Arial"/>
        </w:rPr>
      </w:pPr>
    </w:p>
    <w:p w:rsidRPr="00172290" w:rsidR="00172290" w:rsidP="00172290" w:rsidRDefault="00172290" w14:paraId="0CB155C2" w14:textId="77777777">
      <w:pPr>
        <w:rPr>
          <w:rFonts w:ascii="Arial" w:hAnsi="Arial" w:cs="Arial"/>
        </w:rPr>
      </w:pPr>
    </w:p>
    <w:p w:rsidRPr="00172290" w:rsidR="00172290" w:rsidP="00172290" w:rsidRDefault="00172290" w14:paraId="0A33A156" w14:textId="77777777">
      <w:pPr>
        <w:rPr>
          <w:rFonts w:ascii="Arial" w:hAnsi="Arial" w:cs="Arial"/>
        </w:rPr>
      </w:pPr>
    </w:p>
    <w:p w:rsidRPr="00172290" w:rsidR="00172290" w:rsidP="00172290" w:rsidRDefault="00172290" w14:paraId="79C11A02" w14:textId="77777777">
      <w:pPr>
        <w:rPr>
          <w:rFonts w:ascii="Arial" w:hAnsi="Arial" w:cs="Arial"/>
        </w:rPr>
      </w:pPr>
    </w:p>
    <w:p w:rsidRPr="00172290" w:rsidR="00172290" w:rsidP="00172290" w:rsidRDefault="00172290" w14:paraId="000FC0A8" w14:textId="77777777">
      <w:pPr>
        <w:rPr>
          <w:rFonts w:ascii="Arial" w:hAnsi="Arial" w:cs="Arial"/>
        </w:rPr>
      </w:pPr>
    </w:p>
    <w:p w:rsidRPr="00172290" w:rsidR="00172290" w:rsidP="00172290" w:rsidRDefault="00172290" w14:paraId="775E9F4E" w14:textId="77777777">
      <w:pPr>
        <w:rPr>
          <w:rFonts w:ascii="Arial" w:hAnsi="Arial" w:cs="Arial"/>
        </w:rPr>
      </w:pPr>
      <w:r w:rsidRPr="00172290">
        <w:rPr>
          <w:rFonts w:ascii="Arial" w:hAnsi="Arial" w:cs="Arial"/>
        </w:rPr>
        <w:t>(Please leave the above box blank)</w:t>
      </w:r>
    </w:p>
    <w:p w:rsidRPr="00172290" w:rsidR="00172290" w:rsidP="00172290" w:rsidRDefault="00172290" w14:paraId="04126EF9" w14:textId="77777777">
      <w:pPr>
        <w:rPr>
          <w:rFonts w:ascii="Arial" w:hAnsi="Arial" w:cs="Arial"/>
        </w:rPr>
      </w:pPr>
    </w:p>
    <w:p w:rsidRPr="00172290" w:rsidR="00172290" w:rsidP="00172290" w:rsidRDefault="00172290" w14:paraId="5237FC7B" w14:textId="77777777">
      <w:pPr>
        <w:rPr>
          <w:rFonts w:ascii="Arial" w:hAnsi="Arial" w:cs="Arial"/>
        </w:rPr>
      </w:pPr>
    </w:p>
    <w:p w:rsidRPr="00172290" w:rsidR="00172290" w:rsidP="00172290" w:rsidRDefault="00172290" w14:paraId="48DDD319" w14:textId="77777777">
      <w:pPr>
        <w:rPr>
          <w:rFonts w:ascii="Arial" w:hAnsi="Arial" w:cs="Arial"/>
        </w:rPr>
      </w:pPr>
    </w:p>
    <w:p w:rsidRPr="00172290" w:rsidR="003D0FAC" w:rsidP="009A32E8" w:rsidRDefault="003D0FAC" w14:paraId="00F84CD0" w14:textId="77777777">
      <w:pPr>
        <w:pStyle w:val="Body"/>
        <w:rPr>
          <w:rFonts w:eastAsia="Arial"/>
        </w:rPr>
      </w:pPr>
    </w:p>
    <w:sectPr w:rsidRPr="00172290" w:rsidR="003D0FAC" w:rsidSect="006B0266">
      <w:headerReference w:type="default" r:id="rId7"/>
      <w:footerReference w:type="default" r:id="rId8"/>
      <w:headerReference w:type="first" r:id="rId9"/>
      <w:pgSz w:w="11906" w:h="16838" w:orient="portrait"/>
      <w:pgMar w:top="680" w:right="677" w:bottom="1584" w:left="6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E14" w:rsidP="00395561" w:rsidRDefault="000F6E14" w14:paraId="3DC92481" w14:textId="77777777">
      <w:r>
        <w:separator/>
      </w:r>
    </w:p>
  </w:endnote>
  <w:endnote w:type="continuationSeparator" w:id="0">
    <w:p w:rsidR="000F6E14" w:rsidP="00395561" w:rsidRDefault="000F6E14" w14:paraId="1A9E0B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5561" w:rsidR="001B53EF" w:rsidP="00395561" w:rsidRDefault="001B53EF" w14:paraId="07DB5CB6" w14:textId="77777777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E14" w:rsidP="00395561" w:rsidRDefault="000F6E14" w14:paraId="37C2D7CB" w14:textId="77777777">
      <w:r>
        <w:separator/>
      </w:r>
    </w:p>
  </w:footnote>
  <w:footnote w:type="continuationSeparator" w:id="0">
    <w:p w:rsidR="000F6E14" w:rsidP="00395561" w:rsidRDefault="000F6E14" w14:paraId="71059E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3EF" w:rsidP="00395561" w:rsidRDefault="001B53EF" w14:paraId="4D0EB818" w14:textId="77777777">
    <w:pPr>
      <w:pStyle w:val="Header"/>
      <w:ind w:left="-680" w:right="-65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50EF" w:rsidRDefault="001F50EF" w14:paraId="293C501A" w14:textId="77777777">
    <w:pPr>
      <w:pStyle w:val="Header"/>
    </w:pPr>
  </w:p>
  <w:p w:rsidR="001F50EF" w:rsidRDefault="001F50EF" w14:paraId="09D9AE78" w14:textId="77777777">
    <w:pPr>
      <w:pStyle w:val="Header"/>
    </w:pPr>
  </w:p>
  <w:p w:rsidR="001F50EF" w:rsidRDefault="006B0266" w14:paraId="7F06EDD5" w14:textId="7777777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48FF03" wp14:editId="656BE8BC">
          <wp:simplePos x="0" y="0"/>
          <wp:positionH relativeFrom="column">
            <wp:posOffset>30480</wp:posOffset>
          </wp:positionH>
          <wp:positionV relativeFrom="paragraph">
            <wp:posOffset>60325</wp:posOffset>
          </wp:positionV>
          <wp:extent cx="1073150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rwick SU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8AC" w:rsidRDefault="006B0266" w14:paraId="47DF0614" w14:textId="777777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0" wp14:anchorId="77CC5B8C" wp14:editId="75E0EF3C">
              <wp:simplePos x="0" y="0"/>
              <wp:positionH relativeFrom="page">
                <wp:posOffset>1918970</wp:posOffset>
              </wp:positionH>
              <wp:positionV relativeFrom="page">
                <wp:posOffset>599440</wp:posOffset>
              </wp:positionV>
              <wp:extent cx="5029835" cy="666000"/>
              <wp:effectExtent l="0" t="0" r="0" b="203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80987" w:rsidR="008278AC" w:rsidP="00C80987" w:rsidRDefault="00C80987" w14:paraId="5146C7DB" w14:textId="5D39D660">
                          <w:pPr>
                            <w:pStyle w:val="Heading"/>
                          </w:pPr>
                          <w:r w:rsidRPr="00C80987">
                            <w:t>Restricting the Frequency of By</w:t>
                          </w:r>
                          <w:r w:rsidR="00B95CE4">
                            <w:t>l</w:t>
                          </w:r>
                          <w:r w:rsidRPr="00C80987">
                            <w:t>aw changes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3C2B93F">
            <v:shapetype id="_x0000_t202" coordsize="21600,21600" o:spt="202" path="m,l,21600r21600,l21600,xe" w14:anchorId="77CC5B8C">
              <v:stroke joinstyle="miter"/>
              <v:path gradientshapeok="t" o:connecttype="rect"/>
            </v:shapetype>
            <v:shape id="Text Box 2" style="position:absolute;margin-left:151.1pt;margin-top:47.2pt;width:396.05pt;height:52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">
              <v:textbox inset="0,0,0,0">
                <w:txbxContent>
                  <w:p w:rsidRPr="00C80987" w:rsidR="008278AC" w:rsidP="00C80987" w:rsidRDefault="00C80987" w14:paraId="6D983881" w14:textId="5D39D660">
                    <w:pPr>
                      <w:pStyle w:val="Heading"/>
                    </w:pPr>
                    <w:r w:rsidRPr="00C80987">
                      <w:t>Restricting the Frequency of By</w:t>
                    </w:r>
                    <w:r w:rsidR="00B95CE4">
                      <w:t>l</w:t>
                    </w:r>
                    <w:r w:rsidRPr="00C80987">
                      <w:t>aw changes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6B0266" w:rsidRDefault="006B0266" w14:paraId="51F9174A" w14:textId="77777777">
    <w:pPr>
      <w:pStyle w:val="Header"/>
    </w:pPr>
  </w:p>
  <w:p w:rsidR="006B0266" w:rsidRDefault="006B0266" w14:paraId="5BFF4C8B" w14:textId="77777777">
    <w:pPr>
      <w:pStyle w:val="Header"/>
    </w:pPr>
  </w:p>
  <w:p w:rsidR="006B0266" w:rsidRDefault="006B0266" w14:paraId="6C286874" w14:textId="77777777">
    <w:pPr>
      <w:pStyle w:val="Header"/>
    </w:pPr>
  </w:p>
  <w:p w:rsidR="002156FF" w:rsidRDefault="002156FF" w14:paraId="653C22EC" w14:textId="77777777">
    <w:pPr>
      <w:pStyle w:val="Header"/>
    </w:pPr>
  </w:p>
  <w:p w:rsidR="002156FF" w:rsidRDefault="002156FF" w14:paraId="4F14B0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42E"/>
    <w:multiLevelType w:val="hybridMultilevel"/>
    <w:tmpl w:val="85EC3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00E6"/>
    <w:multiLevelType w:val="hybridMultilevel"/>
    <w:tmpl w:val="4292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2C2"/>
    <w:multiLevelType w:val="hybridMultilevel"/>
    <w:tmpl w:val="D1287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54018">
    <w:abstractNumId w:val="0"/>
  </w:num>
  <w:num w:numId="2" w16cid:durableId="812256977">
    <w:abstractNumId w:val="1"/>
  </w:num>
  <w:num w:numId="3" w16cid:durableId="18367226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90"/>
    <w:rsid w:val="00056F73"/>
    <w:rsid w:val="00071D60"/>
    <w:rsid w:val="00096678"/>
    <w:rsid w:val="000B7722"/>
    <w:rsid w:val="000F6E14"/>
    <w:rsid w:val="00106657"/>
    <w:rsid w:val="00141AA3"/>
    <w:rsid w:val="0016364F"/>
    <w:rsid w:val="00172290"/>
    <w:rsid w:val="001B53EF"/>
    <w:rsid w:val="001E4D4A"/>
    <w:rsid w:val="001F50EF"/>
    <w:rsid w:val="002156FF"/>
    <w:rsid w:val="002819CA"/>
    <w:rsid w:val="002B06C9"/>
    <w:rsid w:val="00321C6F"/>
    <w:rsid w:val="00395561"/>
    <w:rsid w:val="003D0FAC"/>
    <w:rsid w:val="003E4BCE"/>
    <w:rsid w:val="004D1EA0"/>
    <w:rsid w:val="004F6E7A"/>
    <w:rsid w:val="00500645"/>
    <w:rsid w:val="00552AF4"/>
    <w:rsid w:val="00583E28"/>
    <w:rsid w:val="00603B5B"/>
    <w:rsid w:val="006171E5"/>
    <w:rsid w:val="0063384E"/>
    <w:rsid w:val="006B0266"/>
    <w:rsid w:val="00781E53"/>
    <w:rsid w:val="008278AC"/>
    <w:rsid w:val="008E0619"/>
    <w:rsid w:val="008F7EAD"/>
    <w:rsid w:val="00915A18"/>
    <w:rsid w:val="009A32E8"/>
    <w:rsid w:val="009E2317"/>
    <w:rsid w:val="00A132B9"/>
    <w:rsid w:val="00A3578A"/>
    <w:rsid w:val="00A54212"/>
    <w:rsid w:val="00A66A1C"/>
    <w:rsid w:val="00B95CE4"/>
    <w:rsid w:val="00C80987"/>
    <w:rsid w:val="00D30B0B"/>
    <w:rsid w:val="00DC39A1"/>
    <w:rsid w:val="00DE27B8"/>
    <w:rsid w:val="00EA07DF"/>
    <w:rsid w:val="00F737DF"/>
    <w:rsid w:val="588409FB"/>
    <w:rsid w:val="616B7CDE"/>
    <w:rsid w:val="649C6FB0"/>
    <w:rsid w:val="67F0B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19CE1"/>
  <w15:chartTrackingRefBased/>
  <w15:docId w15:val="{2323E165-C4B7-4C78-BF9C-52F7591A0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72290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styleId="HeaderChar" w:customStyle="1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tabs>
        <w:tab w:val="center" w:pos="4513"/>
        <w:tab w:val="right" w:pos="9026"/>
      </w:tabs>
    </w:pPr>
    <w:rPr>
      <w:lang w:eastAsia="en-GB"/>
    </w:rPr>
  </w:style>
  <w:style w:type="character" w:styleId="FooterChar" w:customStyle="1">
    <w:name w:val="Footer Char"/>
    <w:basedOn w:val="DefaultParagraphFont"/>
    <w:link w:val="Footer"/>
    <w:rsid w:val="00395561"/>
    <w:rPr>
      <w:sz w:val="24"/>
      <w:szCs w:val="24"/>
    </w:rPr>
  </w:style>
  <w:style w:type="paragraph" w:styleId="BasicParagraph" w:customStyle="1">
    <w:name w:val="[Basic Paragraph]"/>
    <w:basedOn w:val="Normal"/>
    <w:link w:val="BasicParagraphChar"/>
    <w:uiPriority w:val="99"/>
    <w:rsid w:val="0039556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styleId="Heading" w:customStyle="1">
    <w:name w:val="Heading"/>
    <w:basedOn w:val="Normal"/>
    <w:link w:val="HeadingChar"/>
    <w:autoRedefine/>
    <w:qFormat/>
    <w:rsid w:val="00C80987"/>
    <w:pPr>
      <w:spacing w:after="240"/>
    </w:pPr>
    <w:rPr>
      <w:rFonts w:ascii="Arial" w:hAnsi="Arial" w:cs="Arial"/>
      <w:b/>
      <w:color w:val="000000" w:themeColor="text1"/>
      <w:sz w:val="44"/>
      <w:szCs w:val="44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styleId="HeadingChar" w:customStyle="1">
    <w:name w:val="Heading Char"/>
    <w:basedOn w:val="DefaultParagraphFont"/>
    <w:link w:val="Heading"/>
    <w:rsid w:val="00C80987"/>
    <w:rPr>
      <w:rFonts w:ascii="Arial" w:hAnsi="Arial" w:cs="Arial"/>
      <w:b/>
      <w:color w:val="000000" w:themeColor="text1"/>
      <w:sz w:val="44"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  <w:style w:type="paragraph" w:styleId="Body" w:customStyle="1">
    <w:name w:val="Body"/>
    <w:basedOn w:val="BasicParagraph"/>
    <w:link w:val="BodyChar"/>
    <w:autoRedefine/>
    <w:qFormat/>
    <w:rsid w:val="009A32E8"/>
    <w:pPr>
      <w:spacing w:after="24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SubHeading" w:customStyle="1">
    <w:name w:val="Sub Heading"/>
    <w:basedOn w:val="BasicParagraph"/>
    <w:link w:val="SubHeadingChar"/>
    <w:autoRedefine/>
    <w:qFormat/>
    <w:rsid w:val="009A32E8"/>
    <w:pPr>
      <w:spacing w:before="280" w:line="276" w:lineRule="auto"/>
    </w:pPr>
    <w:rPr>
      <w:rFonts w:ascii="Arial" w:hAnsi="Arial" w:cs="Arial"/>
      <w:b/>
      <w:color w:val="000000" w:themeColor="text1"/>
      <w:sz w:val="32"/>
      <w:szCs w:val="32"/>
    </w:rPr>
  </w:style>
  <w:style w:type="character" w:styleId="BasicParagraphChar" w:customStyle="1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styleId="BodyChar" w:customStyle="1">
    <w:name w:val="Body Char"/>
    <w:basedOn w:val="BasicParagraphChar"/>
    <w:link w:val="Body"/>
    <w:rsid w:val="009A32E8"/>
    <w:rPr>
      <w:rFonts w:ascii="Arial" w:hAnsi="Arial" w:cs="Arial"/>
      <w:color w:val="000000" w:themeColor="text1"/>
      <w:sz w:val="22"/>
      <w:szCs w:val="22"/>
      <w:lang w:val="en-US"/>
    </w:rPr>
  </w:style>
  <w:style w:type="character" w:styleId="SubHeadingChar" w:customStyle="1">
    <w:name w:val="Sub Heading Char"/>
    <w:basedOn w:val="BasicParagraphChar"/>
    <w:link w:val="SubHeading"/>
    <w:rsid w:val="009A32E8"/>
    <w:rPr>
      <w:rFonts w:ascii="Arial" w:hAnsi="Arial" w:cs="Arial"/>
      <w:b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1722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902912D49240B77D5D65E7037D17" ma:contentTypeVersion="12" ma:contentTypeDescription="Create a new document." ma:contentTypeScope="" ma:versionID="c79a16d7837f2808b0d30d47514a7e78">
  <xsd:schema xmlns:xsd="http://www.w3.org/2001/XMLSchema" xmlns:xs="http://www.w3.org/2001/XMLSchema" xmlns:p="http://schemas.microsoft.com/office/2006/metadata/properties" xmlns:ns2="79da2c25-5886-46b0-be0b-1218e13c9131" xmlns:ns3="69727a05-70c5-449a-90f0-7dde2b8ec049" targetNamespace="http://schemas.microsoft.com/office/2006/metadata/properties" ma:root="true" ma:fieldsID="2a25eb2f4e77500ae547ec41ee714cb5" ns2:_="" ns3:_="">
    <xsd:import namespace="79da2c25-5886-46b0-be0b-1218e13c9131"/>
    <xsd:import namespace="69727a05-70c5-449a-90f0-7dde2b8e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2c25-5886-46b0-be0b-1218e13c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7a05-70c5-449a-90f0-7dde2b8e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697B4-140C-472A-A9E4-D3DD064DD6AC}"/>
</file>

<file path=customXml/itemProps2.xml><?xml version="1.0" encoding="utf-8"?>
<ds:datastoreItem xmlns:ds="http://schemas.openxmlformats.org/officeDocument/2006/customXml" ds:itemID="{1CB642C1-C4FE-47DF-BCCE-B85747AD42D4}"/>
</file>

<file path=customXml/itemProps3.xml><?xml version="1.0" encoding="utf-8"?>
<ds:datastoreItem xmlns:ds="http://schemas.openxmlformats.org/officeDocument/2006/customXml" ds:itemID="{F1084C87-623D-43E8-99E9-E0861D8781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O'Brien</dc:creator>
  <keywords/>
  <dc:description/>
  <lastModifiedBy>James Morrison</lastModifiedBy>
  <revision>4</revision>
  <dcterms:created xsi:type="dcterms:W3CDTF">2022-04-26T14:14:00.0000000Z</dcterms:created>
  <dcterms:modified xsi:type="dcterms:W3CDTF">2022-04-27T14:49:38.7374299Z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0x010100328E902912D49240B77D5D65E7037D17</vt:lpwstr>
  </property>
</Properties>
</file>